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025880" w14:textId="77777777" w:rsidR="008B25EE" w:rsidRDefault="00DC3122" w:rsidP="008B25EE">
      <w:pPr>
        <w:jc w:val="center"/>
      </w:pPr>
      <w:r>
        <w:t xml:space="preserve">Safety and effectiveness of </w:t>
      </w:r>
      <w:proofErr w:type="spellStart"/>
      <w:r>
        <w:t>intrathecal</w:t>
      </w:r>
      <w:proofErr w:type="spellEnd"/>
      <w:r>
        <w:t xml:space="preserve"> nicardipine for the treatment of subarachnoid</w:t>
      </w:r>
      <w:r w:rsidR="00443BC7">
        <w:t xml:space="preserve">   hemorrhage</w:t>
      </w:r>
    </w:p>
    <w:p w14:paraId="100A1360" w14:textId="77777777" w:rsidR="00443BC7" w:rsidRPr="00443BC7" w:rsidRDefault="00DC3122" w:rsidP="00DC3122">
      <w:pPr>
        <w:rPr>
          <w:b/>
        </w:rPr>
      </w:pPr>
      <w:r w:rsidRPr="00443BC7">
        <w:rPr>
          <w:b/>
        </w:rPr>
        <w:t xml:space="preserve">Investigator contact information: </w:t>
      </w:r>
    </w:p>
    <w:p w14:paraId="6D95FA6D" w14:textId="77777777" w:rsidR="008A7F3E" w:rsidRDefault="00DC3122" w:rsidP="00DC3122">
      <w:r>
        <w:t xml:space="preserve">Kristina D. Clyburn, </w:t>
      </w:r>
      <w:proofErr w:type="spellStart"/>
      <w:r>
        <w:t>PharmD</w:t>
      </w:r>
      <w:proofErr w:type="spellEnd"/>
      <w:r>
        <w:t xml:space="preserve">- PGY2 Critical Care Specialty </w:t>
      </w:r>
      <w:r w:rsidR="008A7F3E">
        <w:t>Resident; UW Medicine</w:t>
      </w:r>
    </w:p>
    <w:p w14:paraId="535D92F2" w14:textId="3497FE47" w:rsidR="001272B5" w:rsidRDefault="00DC3122" w:rsidP="00DC3122">
      <w:r>
        <w:t>1959 NE Pacific St</w:t>
      </w:r>
      <w:bookmarkStart w:id="0" w:name="_GoBack"/>
      <w:bookmarkEnd w:id="0"/>
    </w:p>
    <w:p w14:paraId="180FC8E1" w14:textId="77777777" w:rsidR="00DC3122" w:rsidRDefault="00DC3122" w:rsidP="00DC3122">
      <w:r>
        <w:t>Seattle, WA 98195-6015</w:t>
      </w:r>
    </w:p>
    <w:p w14:paraId="24BCF5AD" w14:textId="1C6AC311" w:rsidR="008B25EE" w:rsidRDefault="00DC3122" w:rsidP="009A264F">
      <w:r w:rsidRPr="00DC3122">
        <w:t>clyburnk@uw.edu</w:t>
      </w:r>
    </w:p>
    <w:p w14:paraId="427AFBA6" w14:textId="77777777" w:rsidR="00D258E4" w:rsidRDefault="00D258E4" w:rsidP="009A264F"/>
    <w:p w14:paraId="0029B82E" w14:textId="77777777" w:rsidR="007A4D06" w:rsidRPr="007A4D06" w:rsidRDefault="002F13F9" w:rsidP="007A4D06">
      <w:pPr>
        <w:rPr>
          <w:b/>
        </w:rPr>
      </w:pPr>
      <w:r w:rsidRPr="007A4D06">
        <w:rPr>
          <w:b/>
        </w:rPr>
        <w:t>Useful definitions</w:t>
      </w:r>
    </w:p>
    <w:p w14:paraId="5B8B7761" w14:textId="77777777" w:rsidR="009A264F" w:rsidRDefault="00D60A4A" w:rsidP="007A4D06">
      <w:pPr>
        <w:pStyle w:val="ListParagraph"/>
        <w:numPr>
          <w:ilvl w:val="0"/>
          <w:numId w:val="5"/>
        </w:numPr>
      </w:pPr>
      <w:r w:rsidRPr="007A4D06">
        <w:rPr>
          <w:b/>
        </w:rPr>
        <w:t>Cerebral angioplasty</w:t>
      </w:r>
      <w:r>
        <w:t xml:space="preserve">: </w:t>
      </w:r>
      <w:r w:rsidR="00C57831">
        <w:t>a type of endovascular rescue treatment utilize</w:t>
      </w:r>
      <w:r w:rsidR="0089331F">
        <w:t>d</w:t>
      </w:r>
      <w:r w:rsidR="00C57831">
        <w:t xml:space="preserve"> for the treatment of delayed cerebral ischemia. This is achieved via </w:t>
      </w:r>
      <w:r>
        <w:t>m</w:t>
      </w:r>
      <w:r w:rsidR="002F13F9">
        <w:t xml:space="preserve">echanical manipulation of narrowed </w:t>
      </w:r>
      <w:r w:rsidR="00C57831">
        <w:t>cerebral vasculature via balloon</w:t>
      </w:r>
      <w:r w:rsidR="00443BC7">
        <w:t xml:space="preserve"> inflation. </w:t>
      </w:r>
      <w:r w:rsidR="00AB6103">
        <w:t xml:space="preserve"> </w:t>
      </w:r>
    </w:p>
    <w:p w14:paraId="106FA6B3" w14:textId="77777777" w:rsidR="00FB4633" w:rsidRDefault="00FB4633" w:rsidP="009A264F">
      <w:pPr>
        <w:pStyle w:val="ListParagraph"/>
        <w:numPr>
          <w:ilvl w:val="0"/>
          <w:numId w:val="5"/>
        </w:numPr>
      </w:pPr>
      <w:r w:rsidRPr="009A264F">
        <w:rPr>
          <w:b/>
        </w:rPr>
        <w:t>Delayed cerebral ischemia (DCI):</w:t>
      </w:r>
      <w:r>
        <w:t xml:space="preserve"> any neurological deterioration including hemiparesis, aphasia and/or altered consciousness presumed</w:t>
      </w:r>
      <w:r w:rsidR="0089331F">
        <w:t xml:space="preserve"> to be</w:t>
      </w:r>
      <w:r>
        <w:t xml:space="preserve"> related to ischemia that persists for more than an hour and cannot be explained by other physiological abnormalities noted on the standard radiographic, electrophysiological, or laboratory findings.</w:t>
      </w:r>
      <w:r w:rsidR="00B61A7D">
        <w:rPr>
          <w:vertAlign w:val="superscript"/>
        </w:rPr>
        <w:t>1</w:t>
      </w:r>
      <w:r>
        <w:t xml:space="preserve"> </w:t>
      </w:r>
    </w:p>
    <w:p w14:paraId="265AD674" w14:textId="7D96110A" w:rsidR="00FB4633" w:rsidRDefault="00FB4633" w:rsidP="00FB4633">
      <w:pPr>
        <w:pStyle w:val="ListParagraph"/>
        <w:numPr>
          <w:ilvl w:val="0"/>
          <w:numId w:val="5"/>
        </w:numPr>
      </w:pPr>
      <w:proofErr w:type="spellStart"/>
      <w:r w:rsidRPr="00FB4633">
        <w:rPr>
          <w:b/>
        </w:rPr>
        <w:t>Transcranial</w:t>
      </w:r>
      <w:proofErr w:type="spellEnd"/>
      <w:r w:rsidRPr="00FB4633">
        <w:rPr>
          <w:b/>
        </w:rPr>
        <w:t xml:space="preserve"> Doppler (TCD):</w:t>
      </w:r>
      <w:r>
        <w:t xml:space="preserve">  measures blood flow velocities </w:t>
      </w:r>
      <w:r w:rsidR="004E19E0">
        <w:t xml:space="preserve">via ultrasound </w:t>
      </w:r>
      <w:r>
        <w:t xml:space="preserve">in the major branches of the Circle of Willis through an intact skull. This measurement is performed at bedside and has several uses including </w:t>
      </w:r>
      <w:r w:rsidR="004E19E0">
        <w:t xml:space="preserve">detection of </w:t>
      </w:r>
      <w:r>
        <w:t>vasospasm.</w:t>
      </w:r>
      <w:r w:rsidR="00B61A7D">
        <w:rPr>
          <w:vertAlign w:val="superscript"/>
        </w:rPr>
        <w:t>2</w:t>
      </w:r>
      <w:r>
        <w:t xml:space="preserve">  TCD has been used for monitoring of patients with </w:t>
      </w:r>
      <w:proofErr w:type="spellStart"/>
      <w:r w:rsidR="00AB6103">
        <w:t>a</w:t>
      </w:r>
      <w:r>
        <w:t>SAH</w:t>
      </w:r>
      <w:proofErr w:type="spellEnd"/>
      <w:r>
        <w:t>, but studies regarding its sensitivity and specificity for the detection of vasospasm/DCI</w:t>
      </w:r>
      <w:r w:rsidR="0089331F">
        <w:t xml:space="preserve"> are inconclusive</w:t>
      </w:r>
      <w:r>
        <w:t>.</w:t>
      </w:r>
      <w:r w:rsidR="00B61A7D">
        <w:rPr>
          <w:vertAlign w:val="superscript"/>
        </w:rPr>
        <w:t>1</w:t>
      </w:r>
    </w:p>
    <w:p w14:paraId="05E1E72D" w14:textId="77777777" w:rsidR="00443BC7" w:rsidRDefault="005715E6" w:rsidP="00443BC7">
      <w:pPr>
        <w:pStyle w:val="ListParagraph"/>
        <w:numPr>
          <w:ilvl w:val="0"/>
          <w:numId w:val="5"/>
        </w:numPr>
      </w:pPr>
      <w:r w:rsidRPr="008E1450">
        <w:rPr>
          <w:b/>
        </w:rPr>
        <w:t>Vasospasm</w:t>
      </w:r>
      <w:r>
        <w:t xml:space="preserve">: arterial narrowing after subarachnoid hemorrhage demonstrated by radiographic images or </w:t>
      </w:r>
      <w:proofErr w:type="spellStart"/>
      <w:r>
        <w:t>sonography</w:t>
      </w:r>
      <w:proofErr w:type="spellEnd"/>
      <w:r w:rsidR="00442E26">
        <w:t xml:space="preserve"> that can lead to cerebral ischemia or infarction</w:t>
      </w:r>
      <w:r w:rsidR="00B61A7D">
        <w:t>.</w:t>
      </w:r>
      <w:r w:rsidR="00B61A7D">
        <w:rPr>
          <w:vertAlign w:val="superscript"/>
        </w:rPr>
        <w:t>1</w:t>
      </w:r>
      <w:r w:rsidR="00B61A7D">
        <w:t xml:space="preserve"> </w:t>
      </w:r>
    </w:p>
    <w:p w14:paraId="140B4F65" w14:textId="77777777" w:rsidR="008E3F48" w:rsidRPr="00443BC7" w:rsidRDefault="00443BC7" w:rsidP="001340CE">
      <w:pPr>
        <w:ind w:firstLine="360"/>
        <w:rPr>
          <w:b/>
        </w:rPr>
      </w:pPr>
      <w:r w:rsidRPr="00443BC7">
        <w:rPr>
          <w:b/>
        </w:rPr>
        <w:t xml:space="preserve">Assessment scale for the amount of blood seen on initial </w:t>
      </w:r>
      <w:r w:rsidR="004E19E0">
        <w:rPr>
          <w:b/>
        </w:rPr>
        <w:t xml:space="preserve">head </w:t>
      </w:r>
      <w:r w:rsidRPr="00443BC7">
        <w:rPr>
          <w:b/>
        </w:rPr>
        <w:t>CT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270"/>
        <w:gridCol w:w="4226"/>
      </w:tblGrid>
      <w:tr w:rsidR="008E3F48" w14:paraId="1E923800" w14:textId="77777777" w:rsidTr="004E19E0">
        <w:tc>
          <w:tcPr>
            <w:tcW w:w="8496" w:type="dxa"/>
            <w:gridSpan w:val="2"/>
          </w:tcPr>
          <w:p w14:paraId="10F1929C" w14:textId="77777777" w:rsidR="008E3F48" w:rsidRPr="00FD7D5B" w:rsidRDefault="008E3F48" w:rsidP="008E3F48">
            <w:pPr>
              <w:jc w:val="center"/>
              <w:rPr>
                <w:vertAlign w:val="superscript"/>
              </w:rPr>
            </w:pPr>
            <w:r>
              <w:t>Modified Fisher scale</w:t>
            </w:r>
            <w:r w:rsidR="00FD7D5B">
              <w:rPr>
                <w:vertAlign w:val="superscript"/>
              </w:rPr>
              <w:t>6</w:t>
            </w:r>
          </w:p>
        </w:tc>
      </w:tr>
      <w:tr w:rsidR="008E3F48" w14:paraId="29BF984C" w14:textId="77777777" w:rsidTr="008E3F48">
        <w:tc>
          <w:tcPr>
            <w:tcW w:w="4270" w:type="dxa"/>
          </w:tcPr>
          <w:p w14:paraId="6A7B1CDB" w14:textId="77777777" w:rsidR="008E3F48" w:rsidRDefault="008E3F48" w:rsidP="008E3F48">
            <w:r>
              <w:t xml:space="preserve">Grade 0 </w:t>
            </w:r>
          </w:p>
        </w:tc>
        <w:tc>
          <w:tcPr>
            <w:tcW w:w="4226" w:type="dxa"/>
          </w:tcPr>
          <w:p w14:paraId="100EFAFE" w14:textId="77777777" w:rsidR="008E3F48" w:rsidRDefault="008E3F48" w:rsidP="008E3F48">
            <w:r>
              <w:t>No SAH or IVH</w:t>
            </w:r>
          </w:p>
        </w:tc>
      </w:tr>
      <w:tr w:rsidR="008E3F48" w14:paraId="314BCF3F" w14:textId="77777777" w:rsidTr="008E3F48">
        <w:tc>
          <w:tcPr>
            <w:tcW w:w="4270" w:type="dxa"/>
          </w:tcPr>
          <w:p w14:paraId="36427407" w14:textId="77777777" w:rsidR="008E3F48" w:rsidRDefault="008E3F48" w:rsidP="008E3F48">
            <w:r>
              <w:t>Grade 1</w:t>
            </w:r>
          </w:p>
        </w:tc>
        <w:tc>
          <w:tcPr>
            <w:tcW w:w="4226" w:type="dxa"/>
          </w:tcPr>
          <w:p w14:paraId="2E69F0E8" w14:textId="77777777" w:rsidR="008E3F48" w:rsidRDefault="008E3F48" w:rsidP="008E3F48">
            <w:r>
              <w:t>Focal or diffuse thin SAH; no IVH</w:t>
            </w:r>
          </w:p>
        </w:tc>
      </w:tr>
      <w:tr w:rsidR="008E3F48" w14:paraId="0EB62D40" w14:textId="77777777" w:rsidTr="008E3F48">
        <w:tc>
          <w:tcPr>
            <w:tcW w:w="4270" w:type="dxa"/>
          </w:tcPr>
          <w:p w14:paraId="445A6AFE" w14:textId="77777777" w:rsidR="008E3F48" w:rsidRDefault="008E3F48" w:rsidP="008E3F48">
            <w:r>
              <w:t xml:space="preserve">Grade 2 </w:t>
            </w:r>
          </w:p>
        </w:tc>
        <w:tc>
          <w:tcPr>
            <w:tcW w:w="4226" w:type="dxa"/>
          </w:tcPr>
          <w:p w14:paraId="5BC77A92" w14:textId="77777777" w:rsidR="008E3F48" w:rsidRDefault="008E3F48" w:rsidP="008E3F48">
            <w:r>
              <w:t>Focal or diffuse thin SAH; IVH present</w:t>
            </w:r>
          </w:p>
        </w:tc>
      </w:tr>
      <w:tr w:rsidR="008E3F48" w14:paraId="14059BAB" w14:textId="77777777" w:rsidTr="008E3F48">
        <w:tc>
          <w:tcPr>
            <w:tcW w:w="4270" w:type="dxa"/>
          </w:tcPr>
          <w:p w14:paraId="7DF2AD8A" w14:textId="77777777" w:rsidR="008E3F48" w:rsidRDefault="008E3F48" w:rsidP="008E3F48">
            <w:r>
              <w:t xml:space="preserve">Grade 3 </w:t>
            </w:r>
          </w:p>
        </w:tc>
        <w:tc>
          <w:tcPr>
            <w:tcW w:w="4226" w:type="dxa"/>
          </w:tcPr>
          <w:p w14:paraId="61F8774C" w14:textId="77777777" w:rsidR="008E3F48" w:rsidRDefault="008E3F48" w:rsidP="008E3F48">
            <w:r>
              <w:t>Focal or diffuse thick SAH; no IVH</w:t>
            </w:r>
          </w:p>
        </w:tc>
      </w:tr>
      <w:tr w:rsidR="008E3F48" w14:paraId="3946AD26" w14:textId="77777777" w:rsidTr="008E3F48">
        <w:tc>
          <w:tcPr>
            <w:tcW w:w="4270" w:type="dxa"/>
          </w:tcPr>
          <w:p w14:paraId="3631A8AB" w14:textId="77777777" w:rsidR="008E3F48" w:rsidRDefault="008E3F48" w:rsidP="008E3F48">
            <w:r>
              <w:t xml:space="preserve">Grade 4 </w:t>
            </w:r>
          </w:p>
        </w:tc>
        <w:tc>
          <w:tcPr>
            <w:tcW w:w="4226" w:type="dxa"/>
          </w:tcPr>
          <w:p w14:paraId="2A206EC8" w14:textId="77777777" w:rsidR="008E3F48" w:rsidRDefault="008E3F48" w:rsidP="008E3F48">
            <w:r>
              <w:t>Focal or diffuse thick SAH; IVH present</w:t>
            </w:r>
          </w:p>
        </w:tc>
      </w:tr>
      <w:tr w:rsidR="008E3F48" w14:paraId="67C9C17F" w14:textId="77777777" w:rsidTr="004E19E0">
        <w:tc>
          <w:tcPr>
            <w:tcW w:w="8496" w:type="dxa"/>
            <w:gridSpan w:val="2"/>
          </w:tcPr>
          <w:p w14:paraId="676D5103" w14:textId="77777777" w:rsidR="008E3F48" w:rsidRPr="008E3F48" w:rsidRDefault="008E3F48" w:rsidP="008E3F48">
            <w:pPr>
              <w:rPr>
                <w:sz w:val="20"/>
                <w:szCs w:val="20"/>
              </w:rPr>
            </w:pPr>
            <w:r w:rsidRPr="008E3F48">
              <w:rPr>
                <w:sz w:val="20"/>
                <w:szCs w:val="20"/>
              </w:rPr>
              <w:t>IV</w:t>
            </w:r>
            <w:r>
              <w:rPr>
                <w:sz w:val="20"/>
                <w:szCs w:val="20"/>
              </w:rPr>
              <w:t xml:space="preserve">H: </w:t>
            </w:r>
            <w:proofErr w:type="spellStart"/>
            <w:r>
              <w:rPr>
                <w:sz w:val="20"/>
                <w:szCs w:val="20"/>
              </w:rPr>
              <w:t>intraventricular</w:t>
            </w:r>
            <w:proofErr w:type="spellEnd"/>
            <w:r>
              <w:rPr>
                <w:sz w:val="20"/>
                <w:szCs w:val="20"/>
              </w:rPr>
              <w:t xml:space="preserve"> hemorrhage; </w:t>
            </w:r>
            <w:r w:rsidRPr="008E3F48">
              <w:rPr>
                <w:sz w:val="20"/>
                <w:szCs w:val="20"/>
              </w:rPr>
              <w:t xml:space="preserve">SAH: subarachnoid hemorrhage </w:t>
            </w:r>
          </w:p>
        </w:tc>
      </w:tr>
    </w:tbl>
    <w:p w14:paraId="21D605B3" w14:textId="4A8DC55E" w:rsidR="00443BC7" w:rsidRPr="00443BC7" w:rsidRDefault="001340CE" w:rsidP="001340CE">
      <w:pPr>
        <w:rPr>
          <w:b/>
        </w:rPr>
      </w:pPr>
      <w:r>
        <w:t xml:space="preserve">       </w:t>
      </w:r>
      <w:r w:rsidR="00443BC7" w:rsidRPr="00443BC7">
        <w:rPr>
          <w:b/>
        </w:rPr>
        <w:t xml:space="preserve">Assessment scale for patient’s initial neurological presentation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270"/>
        <w:gridCol w:w="4226"/>
      </w:tblGrid>
      <w:tr w:rsidR="00C1594E" w14:paraId="2808D446" w14:textId="77777777" w:rsidTr="004E19E0">
        <w:tc>
          <w:tcPr>
            <w:tcW w:w="8496" w:type="dxa"/>
            <w:gridSpan w:val="2"/>
          </w:tcPr>
          <w:p w14:paraId="2AA571BB" w14:textId="77777777" w:rsidR="00C1594E" w:rsidRDefault="00C1594E" w:rsidP="004E19E0">
            <w:pPr>
              <w:jc w:val="center"/>
            </w:pPr>
            <w:r>
              <w:t>Hunt and Hess scale</w:t>
            </w:r>
            <w:r w:rsidR="00FD7D5B">
              <w:rPr>
                <w:vertAlign w:val="superscript"/>
              </w:rPr>
              <w:t>7</w:t>
            </w:r>
            <w:r>
              <w:t xml:space="preserve"> </w:t>
            </w:r>
          </w:p>
        </w:tc>
      </w:tr>
      <w:tr w:rsidR="00C1594E" w14:paraId="500C1950" w14:textId="77777777" w:rsidTr="004E19E0">
        <w:tc>
          <w:tcPr>
            <w:tcW w:w="4270" w:type="dxa"/>
          </w:tcPr>
          <w:p w14:paraId="75C443E3" w14:textId="77777777" w:rsidR="00C1594E" w:rsidRDefault="00C1594E" w:rsidP="004E19E0">
            <w:r>
              <w:t>Grade 1</w:t>
            </w:r>
          </w:p>
        </w:tc>
        <w:tc>
          <w:tcPr>
            <w:tcW w:w="4226" w:type="dxa"/>
          </w:tcPr>
          <w:p w14:paraId="056D6018" w14:textId="77777777" w:rsidR="00C1594E" w:rsidRDefault="00C1594E" w:rsidP="004E19E0">
            <w:r w:rsidRPr="00C1594E">
              <w:t xml:space="preserve">Asymptomatic, mild headache, slight nuchal rigidity </w:t>
            </w:r>
          </w:p>
        </w:tc>
      </w:tr>
      <w:tr w:rsidR="00C1594E" w14:paraId="6F08358D" w14:textId="77777777" w:rsidTr="004E19E0">
        <w:tc>
          <w:tcPr>
            <w:tcW w:w="4270" w:type="dxa"/>
          </w:tcPr>
          <w:p w14:paraId="7B33EC6C" w14:textId="77777777" w:rsidR="00C1594E" w:rsidRDefault="00C1594E" w:rsidP="004E19E0">
            <w:r>
              <w:t>Grade 2</w:t>
            </w:r>
          </w:p>
        </w:tc>
        <w:tc>
          <w:tcPr>
            <w:tcW w:w="4226" w:type="dxa"/>
          </w:tcPr>
          <w:p w14:paraId="1201EDB0" w14:textId="77777777" w:rsidR="00C1594E" w:rsidRDefault="00C1594E" w:rsidP="004E19E0">
            <w:r w:rsidRPr="00C1594E">
              <w:t xml:space="preserve">Moderate to severe headache, nuchal rigidity, no neurologic deficit other than cranial nerve palsy </w:t>
            </w:r>
          </w:p>
        </w:tc>
      </w:tr>
      <w:tr w:rsidR="00C1594E" w14:paraId="09C52269" w14:textId="77777777" w:rsidTr="004E19E0">
        <w:tc>
          <w:tcPr>
            <w:tcW w:w="4270" w:type="dxa"/>
          </w:tcPr>
          <w:p w14:paraId="28FB6067" w14:textId="77777777" w:rsidR="00C1594E" w:rsidRDefault="00C1594E" w:rsidP="004E19E0">
            <w:r>
              <w:t>Grade 3</w:t>
            </w:r>
          </w:p>
        </w:tc>
        <w:tc>
          <w:tcPr>
            <w:tcW w:w="4226" w:type="dxa"/>
          </w:tcPr>
          <w:p w14:paraId="4EAE24C3" w14:textId="77777777" w:rsidR="00C1594E" w:rsidRDefault="00C1594E" w:rsidP="004E19E0">
            <w:r w:rsidRPr="00C1594E">
              <w:t xml:space="preserve">Drowsiness, confusion, mild focal </w:t>
            </w:r>
            <w:r>
              <w:t>neurologic deficit</w:t>
            </w:r>
          </w:p>
        </w:tc>
      </w:tr>
      <w:tr w:rsidR="00C1594E" w14:paraId="5AAB1171" w14:textId="77777777" w:rsidTr="004E19E0">
        <w:tc>
          <w:tcPr>
            <w:tcW w:w="4270" w:type="dxa"/>
          </w:tcPr>
          <w:p w14:paraId="6AC5DA41" w14:textId="77777777" w:rsidR="00C1594E" w:rsidRDefault="00C1594E" w:rsidP="004E19E0">
            <w:r>
              <w:t xml:space="preserve">Grade 4 </w:t>
            </w:r>
          </w:p>
        </w:tc>
        <w:tc>
          <w:tcPr>
            <w:tcW w:w="4226" w:type="dxa"/>
          </w:tcPr>
          <w:p w14:paraId="4352CDB9" w14:textId="77777777" w:rsidR="00C1594E" w:rsidRDefault="00C1594E" w:rsidP="004E19E0">
            <w:r w:rsidRPr="00C1594E">
              <w:t>Stupor, moderate-severe hemiparesis</w:t>
            </w:r>
          </w:p>
        </w:tc>
      </w:tr>
      <w:tr w:rsidR="00C1594E" w14:paraId="28486683" w14:textId="77777777" w:rsidTr="004E19E0">
        <w:tc>
          <w:tcPr>
            <w:tcW w:w="4270" w:type="dxa"/>
          </w:tcPr>
          <w:p w14:paraId="6FC8F0B8" w14:textId="77777777" w:rsidR="00C1594E" w:rsidRDefault="00C1594E" w:rsidP="004E19E0">
            <w:r>
              <w:t xml:space="preserve">Grade 5 </w:t>
            </w:r>
          </w:p>
        </w:tc>
        <w:tc>
          <w:tcPr>
            <w:tcW w:w="4226" w:type="dxa"/>
          </w:tcPr>
          <w:p w14:paraId="0AC7A66D" w14:textId="77777777" w:rsidR="00C1594E" w:rsidRDefault="00C1594E" w:rsidP="004E19E0">
            <w:r>
              <w:t xml:space="preserve">Coma, </w:t>
            </w:r>
            <w:proofErr w:type="spellStart"/>
            <w:r>
              <w:t>decerebrate</w:t>
            </w:r>
            <w:proofErr w:type="spellEnd"/>
            <w:r>
              <w:t xml:space="preserve"> posturing</w:t>
            </w:r>
          </w:p>
        </w:tc>
      </w:tr>
    </w:tbl>
    <w:p w14:paraId="7C916AEE" w14:textId="77777777" w:rsidR="00A15B76" w:rsidRDefault="00A15B76" w:rsidP="008B25EE"/>
    <w:p w14:paraId="71C02744" w14:textId="374C5CA5" w:rsidR="007A4D06" w:rsidRPr="007A4D06" w:rsidRDefault="00CD3F96" w:rsidP="009A264F">
      <w:pPr>
        <w:rPr>
          <w:b/>
        </w:rPr>
      </w:pPr>
      <w:r>
        <w:rPr>
          <w:b/>
        </w:rPr>
        <w:t>E</w:t>
      </w:r>
      <w:r w:rsidR="009608B3" w:rsidRPr="007A4D06">
        <w:rPr>
          <w:b/>
        </w:rPr>
        <w:t>xamples of</w:t>
      </w:r>
      <w:r>
        <w:rPr>
          <w:b/>
        </w:rPr>
        <w:t xml:space="preserve"> </w:t>
      </w:r>
      <w:proofErr w:type="spellStart"/>
      <w:r>
        <w:rPr>
          <w:b/>
        </w:rPr>
        <w:t>intrathecal</w:t>
      </w:r>
      <w:proofErr w:type="spellEnd"/>
      <w:r>
        <w:rPr>
          <w:b/>
        </w:rPr>
        <w:t xml:space="preserve"> (IT) </w:t>
      </w:r>
      <w:r w:rsidR="009608B3" w:rsidRPr="007A4D06">
        <w:rPr>
          <w:b/>
        </w:rPr>
        <w:t xml:space="preserve">nicardipine </w:t>
      </w:r>
      <w:r w:rsidR="008F0EC9" w:rsidRPr="007A4D06">
        <w:rPr>
          <w:b/>
        </w:rPr>
        <w:t>effectiveness</w:t>
      </w:r>
      <w:r w:rsidR="009608B3" w:rsidRPr="007A4D06">
        <w:rPr>
          <w:b/>
        </w:rPr>
        <w:t xml:space="preserve"> in the literature </w:t>
      </w:r>
    </w:p>
    <w:p w14:paraId="73AF50D0" w14:textId="2793D590" w:rsidR="009A264F" w:rsidRDefault="002F13F9" w:rsidP="009A264F">
      <w:pPr>
        <w:pStyle w:val="ListParagraph"/>
        <w:numPr>
          <w:ilvl w:val="0"/>
          <w:numId w:val="8"/>
        </w:numPr>
      </w:pPr>
      <w:r>
        <w:t>In 2010, Webb and colleagues explored the effects of</w:t>
      </w:r>
      <w:r w:rsidR="00CD3F96">
        <w:t xml:space="preserve"> IT nicardipine</w:t>
      </w:r>
      <w:r>
        <w:t xml:space="preserve"> for treatment of cerebral vasospasm in forty-two patients. They concluded that </w:t>
      </w:r>
      <w:r w:rsidR="00442E26">
        <w:t xml:space="preserve">IT </w:t>
      </w:r>
      <w:r>
        <w:t xml:space="preserve">nicardipine was associated with a significant and sustained reduction in mean cerebral blood flow velocity as measured by </w:t>
      </w:r>
      <w:proofErr w:type="spellStart"/>
      <w:r>
        <w:t>transcranial</w:t>
      </w:r>
      <w:proofErr w:type="spellEnd"/>
      <w:r>
        <w:t xml:space="preserve"> Doppler (TCD)</w:t>
      </w:r>
      <w:r w:rsidR="00B61A7D">
        <w:t>.</w:t>
      </w:r>
      <w:r w:rsidR="00B61A7D">
        <w:rPr>
          <w:vertAlign w:val="superscript"/>
        </w:rPr>
        <w:t>3</w:t>
      </w:r>
    </w:p>
    <w:p w14:paraId="27BC382C" w14:textId="767311BC" w:rsidR="009608B3" w:rsidRDefault="009608B3" w:rsidP="009A264F">
      <w:pPr>
        <w:pStyle w:val="ListParagraph"/>
        <w:numPr>
          <w:ilvl w:val="0"/>
          <w:numId w:val="8"/>
        </w:numPr>
      </w:pPr>
      <w:r>
        <w:t xml:space="preserve">In 2008, Goodson and colleagues described eight patients (median Hunt-Hess grade = 2, median Fisher score = 4) with refractory vasospasm that received </w:t>
      </w:r>
      <w:r w:rsidR="00C11595">
        <w:t>IT</w:t>
      </w:r>
      <w:r w:rsidR="00365B32">
        <w:t xml:space="preserve"> </w:t>
      </w:r>
      <w:r w:rsidR="00CD3F96">
        <w:t>nicardipine</w:t>
      </w:r>
      <w:r w:rsidR="00F471E4">
        <w:t xml:space="preserve"> </w:t>
      </w:r>
      <w:r>
        <w:t>(4 mg every 12 hours) for 5-17 days. Six of the eight patients were discharged home with moderate to good outcomes (median Rankin score = 2)</w:t>
      </w:r>
      <w:r w:rsidR="008D7892">
        <w:t>.</w:t>
      </w:r>
      <w:r w:rsidR="008D7892">
        <w:rPr>
          <w:vertAlign w:val="superscript"/>
        </w:rPr>
        <w:t>4</w:t>
      </w:r>
    </w:p>
    <w:p w14:paraId="7AC3A627" w14:textId="77777777" w:rsidR="009608B3" w:rsidRDefault="009608B3" w:rsidP="00AB6103">
      <w:pPr>
        <w:pStyle w:val="ListParagraph"/>
        <w:numPr>
          <w:ilvl w:val="0"/>
          <w:numId w:val="3"/>
        </w:numPr>
      </w:pPr>
      <w:r>
        <w:t>Rankin Scale is used as a functional outcome measure after stroke</w:t>
      </w:r>
    </w:p>
    <w:p w14:paraId="3ECA32E2" w14:textId="29503D5D" w:rsidR="00443BC7" w:rsidRDefault="00A6776A" w:rsidP="00443BC7">
      <w:pPr>
        <w:pStyle w:val="ListParagraph"/>
        <w:numPr>
          <w:ilvl w:val="0"/>
          <w:numId w:val="3"/>
        </w:numPr>
      </w:pPr>
      <w:r>
        <w:t xml:space="preserve">Encompasses scores: </w:t>
      </w:r>
      <w:r w:rsidR="00A15B76">
        <w:t xml:space="preserve">0= no symptoms at all; 1= no significant disability; 2 = slight disability; 3 moderate </w:t>
      </w:r>
      <w:r w:rsidR="00954840">
        <w:t>disability;</w:t>
      </w:r>
      <w:r w:rsidR="00A15B76">
        <w:t xml:space="preserve"> 4 = moderately sever</w:t>
      </w:r>
      <w:r w:rsidR="00C11595">
        <w:t>e</w:t>
      </w:r>
      <w:r w:rsidR="00A15B76">
        <w:t xml:space="preserve"> disability; 5 = severe disability</w:t>
      </w:r>
      <w:r w:rsidR="00954840">
        <w:t>.</w:t>
      </w:r>
      <w:r w:rsidR="00954840">
        <w:rPr>
          <w:vertAlign w:val="superscript"/>
        </w:rPr>
        <w:t>5</w:t>
      </w:r>
      <w:r w:rsidR="00954840">
        <w:t xml:space="preserve"> </w:t>
      </w:r>
    </w:p>
    <w:p w14:paraId="6E0EE6BC" w14:textId="77777777" w:rsidR="00443BC7" w:rsidRDefault="00443BC7" w:rsidP="00443BC7">
      <w:pPr>
        <w:ind w:left="360"/>
      </w:pPr>
    </w:p>
    <w:p w14:paraId="4CB6A3F2" w14:textId="77777777" w:rsidR="007A4D06" w:rsidRPr="007A4D06" w:rsidRDefault="00DB673F" w:rsidP="009A264F">
      <w:pPr>
        <w:rPr>
          <w:b/>
        </w:rPr>
      </w:pPr>
      <w:r w:rsidRPr="007A4D06">
        <w:rPr>
          <w:b/>
        </w:rPr>
        <w:t>IT nicardipine preparation and administration pear</w:t>
      </w:r>
      <w:r w:rsidR="00D616B3" w:rsidRPr="007A4D06">
        <w:rPr>
          <w:b/>
        </w:rPr>
        <w:t>ls at Harborview Medical Center</w:t>
      </w:r>
    </w:p>
    <w:p w14:paraId="15BC5940" w14:textId="77777777" w:rsidR="009A264F" w:rsidRDefault="002072D1" w:rsidP="009A264F">
      <w:pPr>
        <w:pStyle w:val="ListParagraph"/>
        <w:numPr>
          <w:ilvl w:val="0"/>
          <w:numId w:val="7"/>
        </w:numPr>
      </w:pPr>
      <w:r>
        <w:t>Nicardipine 4 mg</w:t>
      </w:r>
      <w:r w:rsidR="00272180">
        <w:t xml:space="preserve"> (1.6 mL)</w:t>
      </w:r>
      <w:r>
        <w:t xml:space="preserve"> + 0.4 mL of preservative free </w:t>
      </w:r>
      <w:r w:rsidR="00F0417A">
        <w:t xml:space="preserve">normal </w:t>
      </w:r>
      <w:r>
        <w:t>saline (total volume = 2</w:t>
      </w:r>
      <w:r w:rsidR="00C11595">
        <w:t xml:space="preserve"> </w:t>
      </w:r>
      <w:r>
        <w:t>mL)</w:t>
      </w:r>
    </w:p>
    <w:p w14:paraId="75B8BA06" w14:textId="77777777" w:rsidR="009A264F" w:rsidRDefault="002072D1" w:rsidP="009A264F">
      <w:pPr>
        <w:pStyle w:val="ListParagraph"/>
        <w:numPr>
          <w:ilvl w:val="0"/>
          <w:numId w:val="7"/>
        </w:numPr>
      </w:pPr>
      <w:r>
        <w:t xml:space="preserve">Dispensed in a 10 mL syringe </w:t>
      </w:r>
    </w:p>
    <w:p w14:paraId="4AC566D9" w14:textId="77777777" w:rsidR="009A264F" w:rsidRDefault="002072D1" w:rsidP="009A264F">
      <w:pPr>
        <w:pStyle w:val="ListParagraph"/>
        <w:numPr>
          <w:ilvl w:val="0"/>
          <w:numId w:val="7"/>
        </w:numPr>
      </w:pPr>
      <w:r>
        <w:t xml:space="preserve"> Expiration time: 4 hours from preparation time</w:t>
      </w:r>
    </w:p>
    <w:p w14:paraId="1207779D" w14:textId="77777777" w:rsidR="009A264F" w:rsidRDefault="002072D1" w:rsidP="009A264F">
      <w:pPr>
        <w:pStyle w:val="ListParagraph"/>
        <w:numPr>
          <w:ilvl w:val="0"/>
          <w:numId w:val="7"/>
        </w:numPr>
      </w:pPr>
      <w:r>
        <w:t xml:space="preserve">“FOR INTRATHECAL USE ONLY” sticker required on all bags that contain the final syringe </w:t>
      </w:r>
    </w:p>
    <w:p w14:paraId="43848146" w14:textId="77777777" w:rsidR="009A264F" w:rsidRDefault="002072D1" w:rsidP="009A264F">
      <w:pPr>
        <w:pStyle w:val="ListParagraph"/>
        <w:numPr>
          <w:ilvl w:val="0"/>
          <w:numId w:val="7"/>
        </w:numPr>
      </w:pPr>
      <w:r>
        <w:t>Administration of drug restricted to neurosurgery residents/attending</w:t>
      </w:r>
      <w:r w:rsidR="00040CF6">
        <w:t xml:space="preserve"> physicians </w:t>
      </w:r>
      <w:r>
        <w:t>only</w:t>
      </w:r>
    </w:p>
    <w:p w14:paraId="4D603FF5" w14:textId="77777777" w:rsidR="009A264F" w:rsidRDefault="002072D1" w:rsidP="009A264F">
      <w:pPr>
        <w:pStyle w:val="ListParagraph"/>
        <w:numPr>
          <w:ilvl w:val="0"/>
          <w:numId w:val="7"/>
        </w:numPr>
      </w:pPr>
      <w:r>
        <w:t xml:space="preserve">Mask and sterile gloves are worn at all times during administration </w:t>
      </w:r>
    </w:p>
    <w:p w14:paraId="00827891" w14:textId="77777777" w:rsidR="009A264F" w:rsidRDefault="002072D1" w:rsidP="009A264F">
      <w:pPr>
        <w:pStyle w:val="ListParagraph"/>
        <w:numPr>
          <w:ilvl w:val="0"/>
          <w:numId w:val="7"/>
        </w:numPr>
      </w:pPr>
      <w:r>
        <w:t xml:space="preserve">2 mL of cerebrospinal fluid (CSF) </w:t>
      </w:r>
      <w:r w:rsidR="007E4FCE">
        <w:t xml:space="preserve">is </w:t>
      </w:r>
      <w:r>
        <w:t>removed</w:t>
      </w:r>
      <w:r w:rsidR="007E4FCE">
        <w:t xml:space="preserve"> before instillation of drug </w:t>
      </w:r>
    </w:p>
    <w:p w14:paraId="28580EFF" w14:textId="77777777" w:rsidR="009A264F" w:rsidRDefault="002072D1" w:rsidP="009A264F">
      <w:pPr>
        <w:pStyle w:val="ListParagraph"/>
        <w:numPr>
          <w:ilvl w:val="0"/>
          <w:numId w:val="7"/>
        </w:numPr>
      </w:pPr>
      <w:r>
        <w:t xml:space="preserve">Nicardipine (4 mg/2 mL) </w:t>
      </w:r>
      <w:r w:rsidR="007E4FCE">
        <w:t xml:space="preserve">is </w:t>
      </w:r>
      <w:r>
        <w:t xml:space="preserve">administered into ventricle </w:t>
      </w:r>
      <w:r w:rsidR="00C11595">
        <w:t xml:space="preserve">via an EVD </w:t>
      </w:r>
      <w:r>
        <w:t>over 1 minute</w:t>
      </w:r>
    </w:p>
    <w:p w14:paraId="55440894" w14:textId="77777777" w:rsidR="009A264F" w:rsidRDefault="002072D1" w:rsidP="009A264F">
      <w:pPr>
        <w:pStyle w:val="ListParagraph"/>
        <w:numPr>
          <w:ilvl w:val="0"/>
          <w:numId w:val="7"/>
        </w:numPr>
      </w:pPr>
      <w:proofErr w:type="spellStart"/>
      <w:r>
        <w:t>E</w:t>
      </w:r>
      <w:r w:rsidR="007E4FCE">
        <w:t>xtraventricular</w:t>
      </w:r>
      <w:proofErr w:type="spellEnd"/>
      <w:r w:rsidR="007E4FCE">
        <w:t xml:space="preserve"> drain (EVD)</w:t>
      </w:r>
      <w:r w:rsidR="00785527">
        <w:t xml:space="preserve"> is</w:t>
      </w:r>
      <w:r>
        <w:t xml:space="preserve"> clamped for 1 hour as intracranial pressures (ICP) tolerate</w:t>
      </w:r>
    </w:p>
    <w:p w14:paraId="2E0A0719" w14:textId="77777777" w:rsidR="002072D1" w:rsidRDefault="002072D1" w:rsidP="009A264F">
      <w:pPr>
        <w:pStyle w:val="ListParagraph"/>
        <w:numPr>
          <w:ilvl w:val="0"/>
          <w:numId w:val="7"/>
        </w:numPr>
      </w:pPr>
      <w:r>
        <w:t xml:space="preserve">If ICP &gt;20 mm Hg for &gt; 5 minutes, EVD is reopened </w:t>
      </w:r>
    </w:p>
    <w:p w14:paraId="51BF0679" w14:textId="77777777" w:rsidR="007A4D06" w:rsidRDefault="007A4D06" w:rsidP="007A4D06"/>
    <w:p w14:paraId="2868393C" w14:textId="77777777" w:rsidR="009A264F" w:rsidRPr="007A4D06" w:rsidRDefault="009A264F" w:rsidP="009A264F">
      <w:pPr>
        <w:rPr>
          <w:b/>
        </w:rPr>
      </w:pPr>
      <w:r w:rsidRPr="007A4D06">
        <w:rPr>
          <w:b/>
        </w:rPr>
        <w:t>References</w:t>
      </w:r>
    </w:p>
    <w:p w14:paraId="41686E24" w14:textId="77777777" w:rsidR="00954840" w:rsidRPr="00954840" w:rsidRDefault="00954840" w:rsidP="00954840">
      <w:pPr>
        <w:pStyle w:val="ListParagraph"/>
        <w:numPr>
          <w:ilvl w:val="0"/>
          <w:numId w:val="6"/>
        </w:numPr>
      </w:pPr>
      <w:proofErr w:type="spellStart"/>
      <w:r w:rsidRPr="00954840">
        <w:t>Diringer</w:t>
      </w:r>
      <w:proofErr w:type="spellEnd"/>
      <w:r w:rsidRPr="00954840">
        <w:t xml:space="preserve"> MN, et.al. </w:t>
      </w:r>
      <w:proofErr w:type="spellStart"/>
      <w:r w:rsidRPr="00954840">
        <w:rPr>
          <w:i/>
          <w:iCs/>
        </w:rPr>
        <w:t>Neurocrit</w:t>
      </w:r>
      <w:proofErr w:type="spellEnd"/>
      <w:r w:rsidRPr="00954840">
        <w:rPr>
          <w:i/>
          <w:iCs/>
        </w:rPr>
        <w:t xml:space="preserve"> Care. </w:t>
      </w:r>
      <w:r w:rsidRPr="00954840">
        <w:t xml:space="preserve">2011 Sep; 15(2): 211-40. </w:t>
      </w:r>
    </w:p>
    <w:p w14:paraId="5E562F85" w14:textId="77777777" w:rsidR="009A264F" w:rsidRDefault="00B44D95" w:rsidP="009A264F">
      <w:pPr>
        <w:pStyle w:val="ListParagraph"/>
        <w:numPr>
          <w:ilvl w:val="0"/>
          <w:numId w:val="6"/>
        </w:numPr>
      </w:pPr>
      <w:proofErr w:type="spellStart"/>
      <w:r>
        <w:t>Rigamonti</w:t>
      </w:r>
      <w:proofErr w:type="spellEnd"/>
      <w:r>
        <w:t xml:space="preserve"> A, et.al. </w:t>
      </w:r>
      <w:r>
        <w:rPr>
          <w:i/>
        </w:rPr>
        <w:t xml:space="preserve">Can J </w:t>
      </w:r>
      <w:proofErr w:type="spellStart"/>
      <w:r>
        <w:rPr>
          <w:i/>
        </w:rPr>
        <w:t>Anaesth</w:t>
      </w:r>
      <w:proofErr w:type="spellEnd"/>
      <w:r>
        <w:rPr>
          <w:i/>
        </w:rPr>
        <w:t xml:space="preserve">. </w:t>
      </w:r>
      <w:r>
        <w:t xml:space="preserve">2008 Feb; 55(2): 112-23. </w:t>
      </w:r>
    </w:p>
    <w:p w14:paraId="2B69F65B" w14:textId="77777777" w:rsidR="00B44D95" w:rsidRDefault="00B44D95" w:rsidP="009A264F">
      <w:pPr>
        <w:pStyle w:val="ListParagraph"/>
        <w:numPr>
          <w:ilvl w:val="0"/>
          <w:numId w:val="6"/>
        </w:numPr>
      </w:pPr>
      <w:r>
        <w:t xml:space="preserve">Webb, et.al. </w:t>
      </w:r>
      <w:r>
        <w:rPr>
          <w:i/>
        </w:rPr>
        <w:t xml:space="preserve"> </w:t>
      </w:r>
      <w:proofErr w:type="spellStart"/>
      <w:r>
        <w:rPr>
          <w:i/>
        </w:rPr>
        <w:t>Neurocrit</w:t>
      </w:r>
      <w:proofErr w:type="spellEnd"/>
      <w:r>
        <w:rPr>
          <w:i/>
        </w:rPr>
        <w:t xml:space="preserve"> Care. </w:t>
      </w:r>
      <w:r>
        <w:t xml:space="preserve">2010 Apr; 12(2): 159-64. </w:t>
      </w:r>
    </w:p>
    <w:p w14:paraId="1B1CD043" w14:textId="77777777" w:rsidR="00423D0D" w:rsidRDefault="00E70341" w:rsidP="009A264F">
      <w:pPr>
        <w:pStyle w:val="ListParagraph"/>
        <w:numPr>
          <w:ilvl w:val="0"/>
          <w:numId w:val="6"/>
        </w:numPr>
      </w:pPr>
      <w:r>
        <w:t xml:space="preserve">Goodson, et.al. </w:t>
      </w:r>
      <w:proofErr w:type="spellStart"/>
      <w:r w:rsidR="00423D0D">
        <w:rPr>
          <w:i/>
        </w:rPr>
        <w:t>Neurocrit</w:t>
      </w:r>
      <w:proofErr w:type="spellEnd"/>
      <w:r w:rsidR="00423D0D">
        <w:rPr>
          <w:i/>
        </w:rPr>
        <w:t xml:space="preserve"> Care. </w:t>
      </w:r>
      <w:r w:rsidR="00423D0D">
        <w:t xml:space="preserve">2008; 8(2): 247-52. </w:t>
      </w:r>
    </w:p>
    <w:p w14:paraId="3B6E4D97" w14:textId="77777777" w:rsidR="00423D0D" w:rsidRDefault="004C0874" w:rsidP="009A264F">
      <w:pPr>
        <w:pStyle w:val="ListParagraph"/>
        <w:numPr>
          <w:ilvl w:val="0"/>
          <w:numId w:val="6"/>
        </w:numPr>
      </w:pPr>
      <w:r>
        <w:t>Wilson, et.</w:t>
      </w:r>
      <w:r w:rsidR="00E70341">
        <w:t xml:space="preserve">al. </w:t>
      </w:r>
      <w:r w:rsidR="00E70341">
        <w:rPr>
          <w:i/>
        </w:rPr>
        <w:t>Stroke</w:t>
      </w:r>
      <w:r w:rsidR="00E70341">
        <w:t xml:space="preserve">. 2005 Apr; 36(4): 777-81. </w:t>
      </w:r>
    </w:p>
    <w:p w14:paraId="11A37CFD" w14:textId="77777777" w:rsidR="00FD7D5B" w:rsidRPr="00FD7D5B" w:rsidRDefault="00FD7D5B" w:rsidP="00FD7D5B">
      <w:pPr>
        <w:pStyle w:val="ListParagraph"/>
        <w:numPr>
          <w:ilvl w:val="0"/>
          <w:numId w:val="6"/>
        </w:numPr>
      </w:pPr>
      <w:proofErr w:type="spellStart"/>
      <w:r w:rsidRPr="00FD7D5B">
        <w:t>Fontera</w:t>
      </w:r>
      <w:proofErr w:type="spellEnd"/>
      <w:r w:rsidRPr="00FD7D5B">
        <w:t xml:space="preserve"> JA, et.al. </w:t>
      </w:r>
      <w:r w:rsidRPr="00FD7D5B">
        <w:rPr>
          <w:i/>
          <w:iCs/>
        </w:rPr>
        <w:t xml:space="preserve">Neurosurgery. </w:t>
      </w:r>
      <w:r w:rsidRPr="00FD7D5B">
        <w:t xml:space="preserve">2006 Jul; 59(1): 21-7. </w:t>
      </w:r>
    </w:p>
    <w:p w14:paraId="47FEB54D" w14:textId="77777777" w:rsidR="00FD7D5B" w:rsidRPr="00FD7D5B" w:rsidRDefault="00FD7D5B" w:rsidP="00FD7D5B">
      <w:pPr>
        <w:pStyle w:val="ListParagraph"/>
        <w:numPr>
          <w:ilvl w:val="0"/>
          <w:numId w:val="6"/>
        </w:numPr>
      </w:pPr>
      <w:r w:rsidRPr="00FD7D5B">
        <w:t xml:space="preserve">Rosen DS, Macdonald RL. </w:t>
      </w:r>
      <w:proofErr w:type="spellStart"/>
      <w:r w:rsidRPr="00FD7D5B">
        <w:rPr>
          <w:i/>
          <w:iCs/>
        </w:rPr>
        <w:t>Neurocritical</w:t>
      </w:r>
      <w:proofErr w:type="spellEnd"/>
      <w:r w:rsidRPr="00FD7D5B">
        <w:rPr>
          <w:i/>
          <w:iCs/>
        </w:rPr>
        <w:t xml:space="preserve"> Care. </w:t>
      </w:r>
      <w:r w:rsidRPr="00FD7D5B">
        <w:t xml:space="preserve">2005; 2(2): 110-8.  </w:t>
      </w:r>
    </w:p>
    <w:p w14:paraId="117E1814" w14:textId="77777777" w:rsidR="00FD7D5B" w:rsidRPr="001422E4" w:rsidRDefault="00FD7D5B" w:rsidP="00FD7D5B">
      <w:pPr>
        <w:ind w:left="360"/>
      </w:pPr>
    </w:p>
    <w:p w14:paraId="2D6E6739" w14:textId="77777777" w:rsidR="001422E4" w:rsidRDefault="001422E4" w:rsidP="001422E4">
      <w:pPr>
        <w:ind w:left="1080"/>
      </w:pPr>
    </w:p>
    <w:p w14:paraId="7F7AB2C5" w14:textId="77777777" w:rsidR="00DC3122" w:rsidRDefault="00DC3122" w:rsidP="00DC3122"/>
    <w:sectPr w:rsidR="00DC3122" w:rsidSect="00DA087D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45107EE" w15:done="0"/>
  <w15:commentEx w15:paraId="187AA069" w15:paraIdParent="445107EE" w15:done="0"/>
  <w15:commentEx w15:paraId="73AA1B36" w15:done="0"/>
  <w15:commentEx w15:paraId="0F0E640A" w15:paraIdParent="73AA1B36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C9EA46" w14:textId="77777777" w:rsidR="00986203" w:rsidRDefault="00986203" w:rsidP="00EA59CE">
      <w:r>
        <w:separator/>
      </w:r>
    </w:p>
  </w:endnote>
  <w:endnote w:type="continuationSeparator" w:id="0">
    <w:p w14:paraId="5CE8FC2F" w14:textId="77777777" w:rsidR="00986203" w:rsidRDefault="00986203" w:rsidP="00EA5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5910E0" w14:textId="77777777" w:rsidR="00986203" w:rsidRDefault="00986203" w:rsidP="00EA59CE">
      <w:r>
        <w:separator/>
      </w:r>
    </w:p>
  </w:footnote>
  <w:footnote w:type="continuationSeparator" w:id="0">
    <w:p w14:paraId="4C607557" w14:textId="77777777" w:rsidR="00986203" w:rsidRDefault="00986203" w:rsidP="00EA59C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125EA5" w14:textId="77777777" w:rsidR="00272180" w:rsidRDefault="00272180">
    <w:pPr>
      <w:pStyle w:val="Header"/>
    </w:pPr>
    <w:r>
      <w:t>Abstract #98</w:t>
    </w:r>
    <w:r>
      <w:ptab w:relativeTo="margin" w:alignment="center" w:leader="none"/>
    </w:r>
    <w:r>
      <w:ptab w:relativeTo="margin" w:alignment="right" w:leader="none"/>
    </w:r>
    <w:r>
      <w:t xml:space="preserve">Platform Category B3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36A44"/>
    <w:multiLevelType w:val="hybridMultilevel"/>
    <w:tmpl w:val="C7DE1F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50D0DBB"/>
    <w:multiLevelType w:val="hybridMultilevel"/>
    <w:tmpl w:val="D4FEA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633F2"/>
    <w:multiLevelType w:val="hybridMultilevel"/>
    <w:tmpl w:val="96187E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76F62FF"/>
    <w:multiLevelType w:val="hybridMultilevel"/>
    <w:tmpl w:val="2DC437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AC96BE6"/>
    <w:multiLevelType w:val="hybridMultilevel"/>
    <w:tmpl w:val="2A14C2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B410ECF"/>
    <w:multiLevelType w:val="hybridMultilevel"/>
    <w:tmpl w:val="8C76130A"/>
    <w:lvl w:ilvl="0" w:tplc="AD9811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C477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BE3C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AE1F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12F7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6A50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5228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A6D5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5C15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3324A58"/>
    <w:multiLevelType w:val="hybridMultilevel"/>
    <w:tmpl w:val="C2EC7E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A23166"/>
    <w:multiLevelType w:val="hybridMultilevel"/>
    <w:tmpl w:val="25906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ndon">
    <w15:presenceInfo w15:providerId="None" w15:userId="land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C8C"/>
    <w:rsid w:val="00040CF6"/>
    <w:rsid w:val="001272B5"/>
    <w:rsid w:val="001340CE"/>
    <w:rsid w:val="001422E4"/>
    <w:rsid w:val="001B1ECE"/>
    <w:rsid w:val="002072D1"/>
    <w:rsid w:val="00272180"/>
    <w:rsid w:val="002F13F9"/>
    <w:rsid w:val="00365B32"/>
    <w:rsid w:val="00366391"/>
    <w:rsid w:val="00423D0D"/>
    <w:rsid w:val="00442E26"/>
    <w:rsid w:val="00443BC7"/>
    <w:rsid w:val="004C0874"/>
    <w:rsid w:val="004E19E0"/>
    <w:rsid w:val="004E554F"/>
    <w:rsid w:val="0050588E"/>
    <w:rsid w:val="00540D60"/>
    <w:rsid w:val="005715E6"/>
    <w:rsid w:val="005C0A62"/>
    <w:rsid w:val="00655EDC"/>
    <w:rsid w:val="00785527"/>
    <w:rsid w:val="007A4D06"/>
    <w:rsid w:val="007E4FCE"/>
    <w:rsid w:val="007F72ED"/>
    <w:rsid w:val="00803824"/>
    <w:rsid w:val="0089331F"/>
    <w:rsid w:val="008A7F3E"/>
    <w:rsid w:val="008B25EE"/>
    <w:rsid w:val="008B4E89"/>
    <w:rsid w:val="008D7892"/>
    <w:rsid w:val="008E1450"/>
    <w:rsid w:val="008E3F48"/>
    <w:rsid w:val="008F0EC9"/>
    <w:rsid w:val="00954840"/>
    <w:rsid w:val="009608B3"/>
    <w:rsid w:val="00981AB8"/>
    <w:rsid w:val="00986203"/>
    <w:rsid w:val="009A264F"/>
    <w:rsid w:val="00A158A3"/>
    <w:rsid w:val="00A15B76"/>
    <w:rsid w:val="00A6776A"/>
    <w:rsid w:val="00A8099A"/>
    <w:rsid w:val="00AB6103"/>
    <w:rsid w:val="00AE5436"/>
    <w:rsid w:val="00B44D95"/>
    <w:rsid w:val="00B61A7D"/>
    <w:rsid w:val="00BB6C8C"/>
    <w:rsid w:val="00C11595"/>
    <w:rsid w:val="00C1594E"/>
    <w:rsid w:val="00C57831"/>
    <w:rsid w:val="00CB05CC"/>
    <w:rsid w:val="00CD3F96"/>
    <w:rsid w:val="00D258E4"/>
    <w:rsid w:val="00D56282"/>
    <w:rsid w:val="00D60A4A"/>
    <w:rsid w:val="00D616B3"/>
    <w:rsid w:val="00DA087D"/>
    <w:rsid w:val="00DB673F"/>
    <w:rsid w:val="00DC3122"/>
    <w:rsid w:val="00E46852"/>
    <w:rsid w:val="00E57D90"/>
    <w:rsid w:val="00E70341"/>
    <w:rsid w:val="00EA59CE"/>
    <w:rsid w:val="00EE529C"/>
    <w:rsid w:val="00F0417A"/>
    <w:rsid w:val="00F26A3D"/>
    <w:rsid w:val="00F471E4"/>
    <w:rsid w:val="00F51798"/>
    <w:rsid w:val="00F649D6"/>
    <w:rsid w:val="00FB4633"/>
    <w:rsid w:val="00FD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918FF5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59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9CE"/>
  </w:style>
  <w:style w:type="paragraph" w:styleId="Footer">
    <w:name w:val="footer"/>
    <w:basedOn w:val="Normal"/>
    <w:link w:val="FooterChar"/>
    <w:uiPriority w:val="99"/>
    <w:unhideWhenUsed/>
    <w:rsid w:val="00EA59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9CE"/>
  </w:style>
  <w:style w:type="character" w:styleId="Hyperlink">
    <w:name w:val="Hyperlink"/>
    <w:basedOn w:val="DefaultParagraphFont"/>
    <w:uiPriority w:val="99"/>
    <w:unhideWhenUsed/>
    <w:rsid w:val="00DC312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422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61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10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3F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4E19E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19E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19E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19E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19E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59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9CE"/>
  </w:style>
  <w:style w:type="paragraph" w:styleId="Footer">
    <w:name w:val="footer"/>
    <w:basedOn w:val="Normal"/>
    <w:link w:val="FooterChar"/>
    <w:uiPriority w:val="99"/>
    <w:unhideWhenUsed/>
    <w:rsid w:val="00EA59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9CE"/>
  </w:style>
  <w:style w:type="character" w:styleId="Hyperlink">
    <w:name w:val="Hyperlink"/>
    <w:basedOn w:val="DefaultParagraphFont"/>
    <w:uiPriority w:val="99"/>
    <w:unhideWhenUsed/>
    <w:rsid w:val="00DC312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422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61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10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3F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4E19E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19E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19E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19E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19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877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6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11/relationships/people" Target="people.xml"/><Relationship Id="rId13" Type="http://schemas.microsoft.com/office/2011/relationships/commentsExtended" Target="commentsExtended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F17AE-1269-7741-9E13-7E2A6E0FD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648</Words>
  <Characters>3694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Clyburn</dc:creator>
  <cp:keywords/>
  <dc:description/>
  <cp:lastModifiedBy>Kris Clyburn</cp:lastModifiedBy>
  <cp:revision>4</cp:revision>
  <cp:lastPrinted>2013-05-06T05:36:00Z</cp:lastPrinted>
  <dcterms:created xsi:type="dcterms:W3CDTF">2013-05-06T05:36:00Z</dcterms:created>
  <dcterms:modified xsi:type="dcterms:W3CDTF">2013-05-06T05:39:00Z</dcterms:modified>
</cp:coreProperties>
</file>